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Composed in Dublin and at the Tyrone Guthrie Centre, Annaghmakerrig, between March and July 2014,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Quadripartita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was commissioned by Malachy Robinson with funds from The Arts Council/An Chomhairle Eala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on. The gulf between the depths of the double-bass and the heights of the violin, and the dialectic between the individualisation of the 4 instruments and their aspiration to homogeneity provided the main challenges in writing for this combination. The work is partly based on a chorale that only reveals itself towards the end, and partly on a more melodic element that is unrelated to it. These materials engage in a play of attraction and repulsion that remains unresolved.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Quadripartita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dedicated to Malachy Robinson and the Panoramic Quartet.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When I started work, I was reading the strange little book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Eternity Through the Stars</w:t>
      </w:r>
      <w:r>
        <w:rPr>
          <w:rFonts w:ascii="Times New Roman" w:hAnsi="Times New Roman"/>
          <w:sz w:val="24"/>
          <w:szCs w:val="24"/>
          <w:rtl w:val="0"/>
        </w:rPr>
        <w:t xml:space="preserve"> (1872), an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astronomical hypothesis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written by the socialist revolutionary Auguste Blanqui during his imprisonment in the Fort du Taureau, a castle on a rock in the bay of Morlaix, Brittany. It propounds an imagery of infinite repetitions in space and time far more hellish than Nietzsche's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eternal recurrence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>. Freed 7 years later, old and ill, he immediately returned to the work of agitation in defiance of his own fatalistic vision.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opening of the work, exploiting the gulf between the depths of the double-bass and the heights of the violin, evokes Blanqui imprisoned on his rock and contemplating the stars. Beyond this there is no explicit programme, although I feel that Blanqui's ghost somehow hovered over the piece.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